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00" w:rsidRDefault="009B6700">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МИНИСТЕРСТВО ЗДРАВООХРАНЕНИЯ РОССИЙСКОЙ ФЕДЕРАЦИИ</w:t>
      </w:r>
    </w:p>
    <w:p w:rsidR="009B6700" w:rsidRDefault="009B6700">
      <w:pPr>
        <w:widowControl w:val="0"/>
        <w:autoSpaceDE w:val="0"/>
        <w:autoSpaceDN w:val="0"/>
        <w:adjustRightInd w:val="0"/>
        <w:jc w:val="center"/>
        <w:rPr>
          <w:rFonts w:cs="Times New Roman"/>
          <w:b/>
          <w:bCs/>
          <w:szCs w:val="28"/>
        </w:rPr>
      </w:pPr>
    </w:p>
    <w:p w:rsidR="009B6700" w:rsidRDefault="009B6700">
      <w:pPr>
        <w:widowControl w:val="0"/>
        <w:autoSpaceDE w:val="0"/>
        <w:autoSpaceDN w:val="0"/>
        <w:adjustRightInd w:val="0"/>
        <w:jc w:val="center"/>
        <w:rPr>
          <w:rFonts w:cs="Times New Roman"/>
          <w:b/>
          <w:bCs/>
          <w:szCs w:val="28"/>
        </w:rPr>
      </w:pPr>
      <w:r>
        <w:rPr>
          <w:rFonts w:cs="Times New Roman"/>
          <w:b/>
          <w:bCs/>
          <w:szCs w:val="28"/>
        </w:rPr>
        <w:t>ПИСЬМО</w:t>
      </w:r>
    </w:p>
    <w:p w:rsidR="009B6700" w:rsidRDefault="009B6700">
      <w:pPr>
        <w:widowControl w:val="0"/>
        <w:autoSpaceDE w:val="0"/>
        <w:autoSpaceDN w:val="0"/>
        <w:adjustRightInd w:val="0"/>
        <w:jc w:val="center"/>
        <w:rPr>
          <w:rFonts w:cs="Times New Roman"/>
          <w:b/>
          <w:bCs/>
          <w:szCs w:val="28"/>
        </w:rPr>
      </w:pPr>
      <w:r>
        <w:rPr>
          <w:rFonts w:cs="Times New Roman"/>
          <w:b/>
          <w:bCs/>
          <w:szCs w:val="28"/>
        </w:rPr>
        <w:t>от 4 сентября 2014 г. N 16-3/10/2-6752</w:t>
      </w:r>
    </w:p>
    <w:p w:rsidR="009B6700" w:rsidRDefault="009B6700">
      <w:pPr>
        <w:widowControl w:val="0"/>
        <w:autoSpaceDE w:val="0"/>
        <w:autoSpaceDN w:val="0"/>
        <w:adjustRightInd w:val="0"/>
        <w:jc w:val="center"/>
        <w:rPr>
          <w:rFonts w:cs="Times New Roman"/>
          <w:b/>
          <w:bCs/>
          <w:szCs w:val="28"/>
        </w:rPr>
      </w:pPr>
    </w:p>
    <w:p w:rsidR="009B6700" w:rsidRDefault="009B6700">
      <w:pPr>
        <w:widowControl w:val="0"/>
        <w:autoSpaceDE w:val="0"/>
        <w:autoSpaceDN w:val="0"/>
        <w:adjustRightInd w:val="0"/>
        <w:jc w:val="center"/>
        <w:rPr>
          <w:rFonts w:cs="Times New Roman"/>
          <w:b/>
          <w:bCs/>
          <w:szCs w:val="28"/>
        </w:rPr>
      </w:pPr>
      <w:r>
        <w:rPr>
          <w:rFonts w:cs="Times New Roman"/>
          <w:b/>
          <w:bCs/>
          <w:szCs w:val="28"/>
        </w:rPr>
        <w:t>О СОВЕРШЕНСТВОВАНИИ</w:t>
      </w:r>
    </w:p>
    <w:p w:rsidR="009B6700" w:rsidRDefault="009B6700" w:rsidP="009B6700">
      <w:pPr>
        <w:widowControl w:val="0"/>
        <w:autoSpaceDE w:val="0"/>
        <w:autoSpaceDN w:val="0"/>
        <w:adjustRightInd w:val="0"/>
        <w:jc w:val="center"/>
        <w:rPr>
          <w:rFonts w:cs="Times New Roman"/>
          <w:b/>
          <w:bCs/>
          <w:szCs w:val="28"/>
        </w:rPr>
      </w:pPr>
      <w:r>
        <w:rPr>
          <w:rFonts w:cs="Times New Roman"/>
          <w:b/>
          <w:bCs/>
          <w:szCs w:val="28"/>
        </w:rPr>
        <w:t>РЕГИОНАЛЬНЫХ И МУНИЦИПАЛЬНЫХ СИСТЕМ ОПЛАТЫ ТРУДА МЕДИЦИНСКИХ РАБОТНИКОВ</w:t>
      </w:r>
    </w:p>
    <w:p w:rsidR="009B6700" w:rsidRDefault="009B6700">
      <w:pPr>
        <w:widowControl w:val="0"/>
        <w:autoSpaceDE w:val="0"/>
        <w:autoSpaceDN w:val="0"/>
        <w:adjustRightInd w:val="0"/>
        <w:jc w:val="center"/>
        <w:rPr>
          <w:rFonts w:cs="Times New Roman"/>
          <w:szCs w:val="28"/>
        </w:rPr>
      </w:pP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Министерством здравоохранения Российской Федерации проведен анализ действующих </w:t>
      </w:r>
      <w:proofErr w:type="gramStart"/>
      <w:r>
        <w:rPr>
          <w:rFonts w:cs="Times New Roman"/>
          <w:szCs w:val="28"/>
        </w:rPr>
        <w:t>систем оплаты труда медицинских работников учреждений здравоохранения субъектов Российской Федерации</w:t>
      </w:r>
      <w:proofErr w:type="gramEnd"/>
      <w:r>
        <w:rPr>
          <w:rFonts w:cs="Times New Roman"/>
          <w:szCs w:val="28"/>
        </w:rPr>
        <w:t xml:space="preserve">. На основании полученных данных следует, что в большинстве субъектов Российской Федерации сложилась не оптимальная структура заработной платы медицинских работников, приводящая к значительной как межрегиональной, так и </w:t>
      </w:r>
      <w:proofErr w:type="spellStart"/>
      <w:r>
        <w:rPr>
          <w:rFonts w:cs="Times New Roman"/>
          <w:szCs w:val="28"/>
        </w:rPr>
        <w:t>внутрирегиональной</w:t>
      </w:r>
      <w:proofErr w:type="spellEnd"/>
      <w:r>
        <w:rPr>
          <w:rFonts w:cs="Times New Roman"/>
          <w:szCs w:val="28"/>
        </w:rPr>
        <w:t xml:space="preserve"> дифференциации заработной платы медицинских работников одних и тех же медицинских специальностей и типов учреждений.</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 xml:space="preserve">В целях сохранения кадрового потенциала отрасли, повышения престижности и привлекательности работы в медицинских организациях и в соответствии с утвержденными решением Российской трехсторонней комиссии по регулированию социально-трудовых отношений (протокол от 25 декабря 2013 года N 11) Едиными </w:t>
      </w:r>
      <w:hyperlink r:id="rId5" w:history="1">
        <w:r>
          <w:rPr>
            <w:rFonts w:cs="Times New Roman"/>
            <w:color w:val="0000FF"/>
            <w:szCs w:val="28"/>
          </w:rPr>
          <w:t>рекомендациями</w:t>
        </w:r>
      </w:hyperlink>
      <w:r>
        <w:rPr>
          <w:rFonts w:cs="Times New Roman"/>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2014 год полагаем целесообразным провести в</w:t>
      </w:r>
      <w:proofErr w:type="gramEnd"/>
      <w:r>
        <w:rPr>
          <w:rFonts w:cs="Times New Roman"/>
          <w:szCs w:val="28"/>
        </w:rPr>
        <w:t xml:space="preserve"> </w:t>
      </w:r>
      <w:proofErr w:type="gramStart"/>
      <w:r>
        <w:rPr>
          <w:rFonts w:cs="Times New Roman"/>
          <w:szCs w:val="28"/>
        </w:rPr>
        <w:t>субъектах Российской Федерации работу по совершенствованию систем оплаты труда медицинских работников, направленных на внедрение новых подходов к формированию гарантированной части заработной платы, сбалансировав долю тарифной части заработка работников и иных выплат таким образом, чтобы 55 - 60% заработной платы направлялось на выплаты по окладам, 30%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w:t>
      </w:r>
      <w:proofErr w:type="gramEnd"/>
      <w:r>
        <w:rPr>
          <w:rFonts w:cs="Times New Roman"/>
          <w:szCs w:val="28"/>
        </w:rPr>
        <w:t>, 10 - 15% структуры заработной платы - компенсационные выплаты в зависимости от условий труда медицинских работников.</w:t>
      </w:r>
    </w:p>
    <w:p w:rsidR="009B6700" w:rsidRDefault="009B6700">
      <w:pPr>
        <w:widowControl w:val="0"/>
        <w:autoSpaceDE w:val="0"/>
        <w:autoSpaceDN w:val="0"/>
        <w:adjustRightInd w:val="0"/>
        <w:ind w:firstLine="540"/>
        <w:jc w:val="both"/>
        <w:rPr>
          <w:rFonts w:cs="Times New Roman"/>
          <w:szCs w:val="28"/>
        </w:rPr>
      </w:pPr>
      <w:hyperlink w:anchor="Par23" w:history="1">
        <w:r>
          <w:rPr>
            <w:rFonts w:cs="Times New Roman"/>
            <w:color w:val="0000FF"/>
            <w:szCs w:val="28"/>
          </w:rPr>
          <w:t>Предложения</w:t>
        </w:r>
      </w:hyperlink>
      <w:r>
        <w:rPr>
          <w:rFonts w:cs="Times New Roman"/>
          <w:szCs w:val="28"/>
        </w:rPr>
        <w:t xml:space="preserve"> по совершенствованию действующих </w:t>
      </w:r>
      <w:proofErr w:type="gramStart"/>
      <w:r>
        <w:rPr>
          <w:rFonts w:cs="Times New Roman"/>
          <w:szCs w:val="28"/>
        </w:rPr>
        <w:t>систем оплаты труда медицинских работников учреждений здравоохранения субъектов Российской Федерации</w:t>
      </w:r>
      <w:proofErr w:type="gramEnd"/>
      <w:r>
        <w:rPr>
          <w:rFonts w:cs="Times New Roman"/>
          <w:szCs w:val="28"/>
        </w:rPr>
        <w:t xml:space="preserve"> прилагаются.</w:t>
      </w:r>
    </w:p>
    <w:p w:rsidR="009B6700" w:rsidRDefault="009B6700">
      <w:pPr>
        <w:widowControl w:val="0"/>
        <w:autoSpaceDE w:val="0"/>
        <w:autoSpaceDN w:val="0"/>
        <w:adjustRightInd w:val="0"/>
        <w:ind w:firstLine="540"/>
        <w:jc w:val="both"/>
        <w:rPr>
          <w:rFonts w:cs="Times New Roman"/>
          <w:szCs w:val="28"/>
        </w:rPr>
      </w:pPr>
      <w:r>
        <w:rPr>
          <w:rFonts w:cs="Times New Roman"/>
          <w:szCs w:val="28"/>
        </w:rPr>
        <w:t>Информацию о проводимой в регионе работе в части совершенствования структуры заработной платы и показателей эффективности деятельности медицинских работников предлагаем представить в Минздрав России в месячный срок.</w:t>
      </w:r>
    </w:p>
    <w:p w:rsidR="009B6700" w:rsidRDefault="009B6700">
      <w:pPr>
        <w:widowControl w:val="0"/>
        <w:autoSpaceDE w:val="0"/>
        <w:autoSpaceDN w:val="0"/>
        <w:adjustRightInd w:val="0"/>
        <w:ind w:firstLine="540"/>
        <w:jc w:val="both"/>
        <w:rPr>
          <w:rFonts w:cs="Times New Roman"/>
          <w:szCs w:val="28"/>
        </w:rPr>
      </w:pPr>
    </w:p>
    <w:p w:rsidR="009B6700" w:rsidRDefault="009B6700" w:rsidP="009B6700">
      <w:pPr>
        <w:widowControl w:val="0"/>
        <w:autoSpaceDE w:val="0"/>
        <w:autoSpaceDN w:val="0"/>
        <w:adjustRightInd w:val="0"/>
        <w:jc w:val="right"/>
        <w:rPr>
          <w:rFonts w:cs="Times New Roman"/>
          <w:szCs w:val="28"/>
        </w:rPr>
      </w:pPr>
      <w:r>
        <w:rPr>
          <w:rFonts w:cs="Times New Roman"/>
          <w:szCs w:val="28"/>
        </w:rPr>
        <w:t>В.И.СКВОРЦОВА</w:t>
      </w:r>
    </w:p>
    <w:p w:rsidR="009B6700" w:rsidRDefault="009B6700">
      <w:pPr>
        <w:widowControl w:val="0"/>
        <w:autoSpaceDE w:val="0"/>
        <w:autoSpaceDN w:val="0"/>
        <w:adjustRightInd w:val="0"/>
        <w:jc w:val="right"/>
        <w:outlineLvl w:val="0"/>
        <w:rPr>
          <w:rFonts w:cs="Times New Roman"/>
          <w:szCs w:val="28"/>
        </w:rPr>
      </w:pPr>
      <w:bookmarkStart w:id="1" w:name="Par21"/>
      <w:bookmarkEnd w:id="1"/>
      <w:r>
        <w:rPr>
          <w:rFonts w:cs="Times New Roman"/>
          <w:szCs w:val="28"/>
        </w:rPr>
        <w:lastRenderedPageBreak/>
        <w:t>Приложение</w:t>
      </w:r>
      <w:bookmarkStart w:id="2" w:name="_GoBack"/>
      <w:bookmarkEnd w:id="2"/>
    </w:p>
    <w:p w:rsidR="009B6700" w:rsidRDefault="009B6700">
      <w:pPr>
        <w:widowControl w:val="0"/>
        <w:autoSpaceDE w:val="0"/>
        <w:autoSpaceDN w:val="0"/>
        <w:adjustRightInd w:val="0"/>
        <w:ind w:firstLine="540"/>
        <w:jc w:val="both"/>
        <w:rPr>
          <w:rFonts w:cs="Times New Roman"/>
          <w:szCs w:val="28"/>
        </w:rPr>
      </w:pPr>
    </w:p>
    <w:p w:rsidR="009B6700" w:rsidRDefault="009B6700">
      <w:pPr>
        <w:widowControl w:val="0"/>
        <w:autoSpaceDE w:val="0"/>
        <w:autoSpaceDN w:val="0"/>
        <w:adjustRightInd w:val="0"/>
        <w:jc w:val="center"/>
        <w:rPr>
          <w:rFonts w:cs="Times New Roman"/>
          <w:szCs w:val="28"/>
        </w:rPr>
      </w:pPr>
      <w:bookmarkStart w:id="3" w:name="Par23"/>
      <w:bookmarkEnd w:id="3"/>
      <w:r>
        <w:rPr>
          <w:rFonts w:cs="Times New Roman"/>
          <w:szCs w:val="28"/>
        </w:rPr>
        <w:t>ПРЕДЛОЖЕНИЯ</w:t>
      </w:r>
    </w:p>
    <w:p w:rsidR="009B6700" w:rsidRDefault="009B6700">
      <w:pPr>
        <w:widowControl w:val="0"/>
        <w:autoSpaceDE w:val="0"/>
        <w:autoSpaceDN w:val="0"/>
        <w:adjustRightInd w:val="0"/>
        <w:jc w:val="center"/>
        <w:rPr>
          <w:rFonts w:cs="Times New Roman"/>
          <w:szCs w:val="28"/>
        </w:rPr>
      </w:pPr>
      <w:r>
        <w:rPr>
          <w:rFonts w:cs="Times New Roman"/>
          <w:szCs w:val="28"/>
        </w:rPr>
        <w:t>ПО СОВЕРШЕНСТВОВАНИЮ СИСТЕМ ОПЛАТЫ ТРУДА МЕДИЦИНСКИХ</w:t>
      </w:r>
    </w:p>
    <w:p w:rsidR="009B6700" w:rsidRDefault="009B6700">
      <w:pPr>
        <w:widowControl w:val="0"/>
        <w:autoSpaceDE w:val="0"/>
        <w:autoSpaceDN w:val="0"/>
        <w:adjustRightInd w:val="0"/>
        <w:jc w:val="center"/>
        <w:rPr>
          <w:rFonts w:cs="Times New Roman"/>
          <w:szCs w:val="28"/>
        </w:rPr>
      </w:pPr>
      <w:r>
        <w:rPr>
          <w:rFonts w:cs="Times New Roman"/>
          <w:szCs w:val="28"/>
        </w:rPr>
        <w:t>РАБОТНИКОВ УЧРЕЖДЕНИЙ ЗДРАВООХРАНЕНИЯ В СУБЪЕКТАХ</w:t>
      </w:r>
    </w:p>
    <w:p w:rsidR="009B6700" w:rsidRDefault="009B6700">
      <w:pPr>
        <w:widowControl w:val="0"/>
        <w:autoSpaceDE w:val="0"/>
        <w:autoSpaceDN w:val="0"/>
        <w:adjustRightInd w:val="0"/>
        <w:jc w:val="center"/>
        <w:rPr>
          <w:rFonts w:cs="Times New Roman"/>
          <w:szCs w:val="28"/>
        </w:rPr>
      </w:pPr>
      <w:r>
        <w:rPr>
          <w:rFonts w:cs="Times New Roman"/>
          <w:szCs w:val="28"/>
        </w:rPr>
        <w:t>РОССИЙСКОЙ ФЕДЕРАЦИИ</w:t>
      </w:r>
    </w:p>
    <w:p w:rsidR="009B6700" w:rsidRDefault="009B6700">
      <w:pPr>
        <w:widowControl w:val="0"/>
        <w:autoSpaceDE w:val="0"/>
        <w:autoSpaceDN w:val="0"/>
        <w:adjustRightInd w:val="0"/>
        <w:ind w:firstLine="540"/>
        <w:jc w:val="both"/>
        <w:rPr>
          <w:rFonts w:cs="Times New Roman"/>
          <w:szCs w:val="28"/>
        </w:rPr>
      </w:pP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 xml:space="preserve">В соответствии со </w:t>
      </w:r>
      <w:hyperlink r:id="rId6" w:history="1">
        <w:r>
          <w:rPr>
            <w:rFonts w:cs="Times New Roman"/>
            <w:color w:val="0000FF"/>
            <w:szCs w:val="28"/>
          </w:rPr>
          <w:t>статьей 144</w:t>
        </w:r>
      </w:hyperlink>
      <w:r>
        <w:rPr>
          <w:rFonts w:cs="Times New Roman"/>
          <w:szCs w:val="28"/>
        </w:rPr>
        <w:t xml:space="preserve"> Трудового кодекса Российской Федерации в государственных учреждениях субъектов Российской Федерации и муниципальных учреждениях системы оплаты труда устанавливаются коллективными договорами, соглашениями и локальными нормативными актами на основе трудового законодательства и иных нормативных правовых актов Российской Федерации, законов и иных нормативных правовых актов субъектов Российской Федерации и нормативных правовых актов органов местного самоуправления.</w:t>
      </w:r>
      <w:proofErr w:type="gramEnd"/>
    </w:p>
    <w:p w:rsidR="009B6700" w:rsidRDefault="009B6700">
      <w:pPr>
        <w:widowControl w:val="0"/>
        <w:autoSpaceDE w:val="0"/>
        <w:autoSpaceDN w:val="0"/>
        <w:adjustRightInd w:val="0"/>
        <w:ind w:firstLine="540"/>
        <w:jc w:val="both"/>
        <w:rPr>
          <w:rFonts w:cs="Times New Roman"/>
          <w:szCs w:val="28"/>
        </w:rPr>
      </w:pPr>
      <w:r>
        <w:rPr>
          <w:rFonts w:cs="Times New Roman"/>
          <w:szCs w:val="28"/>
        </w:rPr>
        <w:t>При этом</w:t>
      </w:r>
      <w:proofErr w:type="gramStart"/>
      <w:r>
        <w:rPr>
          <w:rFonts w:cs="Times New Roman"/>
          <w:szCs w:val="28"/>
        </w:rPr>
        <w:t>,</w:t>
      </w:r>
      <w:proofErr w:type="gramEnd"/>
      <w:r>
        <w:rPr>
          <w:rFonts w:cs="Times New Roman"/>
          <w:szCs w:val="28"/>
        </w:rPr>
        <w:t xml:space="preserve"> согласно </w:t>
      </w:r>
      <w:hyperlink r:id="rId7" w:history="1">
        <w:r>
          <w:rPr>
            <w:rFonts w:cs="Times New Roman"/>
            <w:color w:val="0000FF"/>
            <w:szCs w:val="28"/>
          </w:rPr>
          <w:t>разделу II</w:t>
        </w:r>
      </w:hyperlink>
      <w:r>
        <w:rPr>
          <w:rFonts w:cs="Times New Roman"/>
          <w:szCs w:val="28"/>
        </w:rPr>
        <w:t xml:space="preserve">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утвержденных решением Российской трехсторонней комиссии по регулированию социально-трудовых отношений (протокол от 25 декабря 2013 года N 11), указанные системы должны включать фиксированные размеры тарифных ставок, окладов (должностных окладов) за исполнение трудовых (должностных) обязанностей за календарный месяц, а также размеры доплат и надбавок компенсационного характера, в том числе за работу в условиях, отклоняющихся от нормальных, и размеры выплат стимулирующего характера.</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 xml:space="preserve">В соответствии с Трудовым </w:t>
      </w:r>
      <w:hyperlink r:id="rId8" w:history="1">
        <w:r>
          <w:rPr>
            <w:rFonts w:cs="Times New Roman"/>
            <w:color w:val="0000FF"/>
            <w:szCs w:val="28"/>
          </w:rPr>
          <w:t>кодексом</w:t>
        </w:r>
      </w:hyperlink>
      <w:r>
        <w:rPr>
          <w:rFonts w:cs="Times New Roman"/>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при этом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9" w:history="1">
        <w:r>
          <w:rPr>
            <w:rFonts w:cs="Times New Roman"/>
            <w:color w:val="0000FF"/>
            <w:szCs w:val="28"/>
          </w:rPr>
          <w:t>справочником</w:t>
        </w:r>
      </w:hyperlink>
      <w:r>
        <w:rPr>
          <w:rFonts w:cs="Times New Roman"/>
          <w:szCs w:val="28"/>
        </w:rPr>
        <w:t xml:space="preserve"> работ и</w:t>
      </w:r>
      <w:proofErr w:type="gramEnd"/>
      <w:r>
        <w:rPr>
          <w:rFonts w:cs="Times New Roman"/>
          <w:szCs w:val="28"/>
        </w:rPr>
        <w:t xml:space="preserve"> профессий рабочих и Единым квалификационным </w:t>
      </w:r>
      <w:hyperlink r:id="rId10" w:history="1">
        <w:r>
          <w:rPr>
            <w:rFonts w:cs="Times New Roman"/>
            <w:color w:val="0000FF"/>
            <w:szCs w:val="28"/>
          </w:rPr>
          <w:t>справочником</w:t>
        </w:r>
      </w:hyperlink>
      <w:r>
        <w:rPr>
          <w:rFonts w:cs="Times New Roman"/>
          <w:szCs w:val="28"/>
        </w:rPr>
        <w:t xml:space="preserve"> должностей руководителей, специалистов и служащих или соответствующими положениями профессиональных </w:t>
      </w:r>
      <w:hyperlink r:id="rId11" w:history="1">
        <w:r>
          <w:rPr>
            <w:rFonts w:cs="Times New Roman"/>
            <w:color w:val="0000FF"/>
            <w:szCs w:val="28"/>
          </w:rPr>
          <w:t>стандартов</w:t>
        </w:r>
      </w:hyperlink>
      <w:r>
        <w:rPr>
          <w:rFonts w:cs="Times New Roman"/>
          <w:szCs w:val="28"/>
        </w:rPr>
        <w:t>.</w:t>
      </w:r>
    </w:p>
    <w:p w:rsidR="009B6700" w:rsidRDefault="009B6700">
      <w:pPr>
        <w:widowControl w:val="0"/>
        <w:autoSpaceDE w:val="0"/>
        <w:autoSpaceDN w:val="0"/>
        <w:adjustRightInd w:val="0"/>
        <w:ind w:firstLine="540"/>
        <w:jc w:val="both"/>
        <w:rPr>
          <w:rFonts w:cs="Times New Roman"/>
          <w:szCs w:val="28"/>
        </w:rPr>
      </w:pPr>
      <w:r>
        <w:rPr>
          <w:rFonts w:cs="Times New Roman"/>
          <w:szCs w:val="28"/>
        </w:rPr>
        <w:t>К выплатам стимулирующего характера относятся:</w:t>
      </w:r>
    </w:p>
    <w:p w:rsidR="009B6700" w:rsidRDefault="009B6700">
      <w:pPr>
        <w:widowControl w:val="0"/>
        <w:autoSpaceDE w:val="0"/>
        <w:autoSpaceDN w:val="0"/>
        <w:adjustRightInd w:val="0"/>
        <w:ind w:firstLine="540"/>
        <w:jc w:val="both"/>
        <w:rPr>
          <w:rFonts w:cs="Times New Roman"/>
          <w:szCs w:val="28"/>
        </w:rPr>
      </w:pPr>
      <w:r>
        <w:rPr>
          <w:rFonts w:cs="Times New Roman"/>
          <w:szCs w:val="28"/>
        </w:rPr>
        <w:t>а) выплаты за интенсивность и высокие результаты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надбавка за интенсивность труда;</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за высокие результаты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за выполнение особо важных и ответственных работ;</w:t>
      </w:r>
    </w:p>
    <w:p w:rsidR="009B6700" w:rsidRDefault="009B6700">
      <w:pPr>
        <w:widowControl w:val="0"/>
        <w:autoSpaceDE w:val="0"/>
        <w:autoSpaceDN w:val="0"/>
        <w:adjustRightInd w:val="0"/>
        <w:ind w:firstLine="540"/>
        <w:jc w:val="both"/>
        <w:rPr>
          <w:rFonts w:cs="Times New Roman"/>
          <w:szCs w:val="28"/>
        </w:rPr>
      </w:pPr>
      <w:r>
        <w:rPr>
          <w:rFonts w:cs="Times New Roman"/>
          <w:szCs w:val="28"/>
        </w:rPr>
        <w:t>б) выплаты за качество выполняемых работ:</w:t>
      </w:r>
    </w:p>
    <w:p w:rsidR="009B6700" w:rsidRDefault="009B6700">
      <w:pPr>
        <w:widowControl w:val="0"/>
        <w:autoSpaceDE w:val="0"/>
        <w:autoSpaceDN w:val="0"/>
        <w:adjustRightInd w:val="0"/>
        <w:ind w:firstLine="540"/>
        <w:jc w:val="both"/>
        <w:rPr>
          <w:rFonts w:cs="Times New Roman"/>
          <w:szCs w:val="28"/>
        </w:rPr>
      </w:pPr>
      <w:r>
        <w:rPr>
          <w:rFonts w:cs="Times New Roman"/>
          <w:szCs w:val="28"/>
        </w:rPr>
        <w:lastRenderedPageBreak/>
        <w:t>надбавка за наличие квалификационной категории;</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за образцовое выполнение государственного (муниципального) задания;</w:t>
      </w:r>
    </w:p>
    <w:p w:rsidR="009B6700" w:rsidRDefault="009B6700">
      <w:pPr>
        <w:widowControl w:val="0"/>
        <w:autoSpaceDE w:val="0"/>
        <w:autoSpaceDN w:val="0"/>
        <w:adjustRightInd w:val="0"/>
        <w:ind w:firstLine="540"/>
        <w:jc w:val="both"/>
        <w:rPr>
          <w:rFonts w:cs="Times New Roman"/>
          <w:szCs w:val="28"/>
        </w:rPr>
      </w:pPr>
      <w:r>
        <w:rPr>
          <w:rFonts w:cs="Times New Roman"/>
          <w:szCs w:val="28"/>
        </w:rPr>
        <w:t>в) выплаты за стаж работы, выслугу лет:</w:t>
      </w:r>
    </w:p>
    <w:p w:rsidR="009B6700" w:rsidRDefault="009B6700">
      <w:pPr>
        <w:widowControl w:val="0"/>
        <w:autoSpaceDE w:val="0"/>
        <w:autoSpaceDN w:val="0"/>
        <w:adjustRightInd w:val="0"/>
        <w:ind w:firstLine="540"/>
        <w:jc w:val="both"/>
        <w:rPr>
          <w:rFonts w:cs="Times New Roman"/>
          <w:szCs w:val="28"/>
        </w:rPr>
      </w:pPr>
      <w:r>
        <w:rPr>
          <w:rFonts w:cs="Times New Roman"/>
          <w:szCs w:val="28"/>
        </w:rPr>
        <w:t>надбавка за выслугу лет;</w:t>
      </w:r>
    </w:p>
    <w:p w:rsidR="009B6700" w:rsidRDefault="009B6700">
      <w:pPr>
        <w:widowControl w:val="0"/>
        <w:autoSpaceDE w:val="0"/>
        <w:autoSpaceDN w:val="0"/>
        <w:adjustRightInd w:val="0"/>
        <w:ind w:firstLine="540"/>
        <w:jc w:val="both"/>
        <w:rPr>
          <w:rFonts w:cs="Times New Roman"/>
          <w:szCs w:val="28"/>
        </w:rPr>
      </w:pPr>
      <w:r>
        <w:rPr>
          <w:rFonts w:cs="Times New Roman"/>
          <w:szCs w:val="28"/>
        </w:rPr>
        <w:t>надбавка за стаж непрерывной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надбавка за стаж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г) премиальные выплаты по итогам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по итогам работы за месяц;</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по итогам работы за квартал;</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премия по итогам работы за год;</w:t>
      </w:r>
    </w:p>
    <w:p w:rsidR="009B6700" w:rsidRDefault="009B6700">
      <w:pPr>
        <w:widowControl w:val="0"/>
        <w:autoSpaceDE w:val="0"/>
        <w:autoSpaceDN w:val="0"/>
        <w:adjustRightInd w:val="0"/>
        <w:ind w:firstLine="540"/>
        <w:jc w:val="both"/>
        <w:rPr>
          <w:rFonts w:cs="Times New Roman"/>
          <w:szCs w:val="28"/>
        </w:rPr>
      </w:pPr>
      <w:r>
        <w:rPr>
          <w:rFonts w:cs="Times New Roman"/>
          <w:szCs w:val="28"/>
        </w:rPr>
        <w:t>К выплатам компенсационного характера относятся:</w:t>
      </w:r>
    </w:p>
    <w:p w:rsidR="009B6700" w:rsidRDefault="009B6700">
      <w:pPr>
        <w:widowControl w:val="0"/>
        <w:autoSpaceDE w:val="0"/>
        <w:autoSpaceDN w:val="0"/>
        <w:adjustRightInd w:val="0"/>
        <w:ind w:firstLine="540"/>
        <w:jc w:val="both"/>
        <w:rPr>
          <w:rFonts w:cs="Times New Roman"/>
          <w:szCs w:val="28"/>
        </w:rPr>
      </w:pPr>
      <w:r>
        <w:rPr>
          <w:rFonts w:cs="Times New Roman"/>
          <w:szCs w:val="28"/>
        </w:rPr>
        <w:t>а) выплаты работникам, занятым на тяжелых работах, работах с вредными и (или) опасными и иными особыми условиями труда;</w:t>
      </w:r>
    </w:p>
    <w:p w:rsidR="009B6700" w:rsidRDefault="009B6700">
      <w:pPr>
        <w:widowControl w:val="0"/>
        <w:autoSpaceDE w:val="0"/>
        <w:autoSpaceDN w:val="0"/>
        <w:adjustRightInd w:val="0"/>
        <w:ind w:firstLine="540"/>
        <w:jc w:val="both"/>
        <w:rPr>
          <w:rFonts w:cs="Times New Roman"/>
          <w:szCs w:val="28"/>
        </w:rPr>
      </w:pPr>
      <w:r>
        <w:rPr>
          <w:rFonts w:cs="Times New Roman"/>
          <w:szCs w:val="28"/>
        </w:rPr>
        <w:t>б) выплаты за работу в местностях с особыми климатическими условиями:</w:t>
      </w:r>
    </w:p>
    <w:p w:rsidR="009B6700" w:rsidRDefault="009B6700">
      <w:pPr>
        <w:widowControl w:val="0"/>
        <w:autoSpaceDE w:val="0"/>
        <w:autoSpaceDN w:val="0"/>
        <w:adjustRightInd w:val="0"/>
        <w:ind w:firstLine="540"/>
        <w:jc w:val="both"/>
        <w:rPr>
          <w:rFonts w:cs="Times New Roman"/>
          <w:szCs w:val="28"/>
        </w:rPr>
      </w:pPr>
      <w:r>
        <w:rPr>
          <w:rFonts w:cs="Times New Roman"/>
          <w:szCs w:val="28"/>
        </w:rPr>
        <w:t>районный коэффициент;</w:t>
      </w:r>
    </w:p>
    <w:p w:rsidR="009B6700" w:rsidRDefault="009B6700">
      <w:pPr>
        <w:widowControl w:val="0"/>
        <w:autoSpaceDE w:val="0"/>
        <w:autoSpaceDN w:val="0"/>
        <w:adjustRightInd w:val="0"/>
        <w:ind w:firstLine="540"/>
        <w:jc w:val="both"/>
        <w:rPr>
          <w:rFonts w:cs="Times New Roman"/>
          <w:szCs w:val="28"/>
        </w:rPr>
      </w:pPr>
      <w:r>
        <w:rPr>
          <w:rFonts w:cs="Times New Roman"/>
          <w:szCs w:val="28"/>
        </w:rPr>
        <w:t>коэффициент за работу в пустынных и безводных местностях;</w:t>
      </w:r>
    </w:p>
    <w:p w:rsidR="009B6700" w:rsidRDefault="009B6700">
      <w:pPr>
        <w:widowControl w:val="0"/>
        <w:autoSpaceDE w:val="0"/>
        <w:autoSpaceDN w:val="0"/>
        <w:adjustRightInd w:val="0"/>
        <w:ind w:firstLine="540"/>
        <w:jc w:val="both"/>
        <w:rPr>
          <w:rFonts w:cs="Times New Roman"/>
          <w:szCs w:val="28"/>
        </w:rPr>
      </w:pPr>
      <w:r>
        <w:rPr>
          <w:rFonts w:cs="Times New Roman"/>
          <w:szCs w:val="28"/>
        </w:rPr>
        <w:t>коэффициент за работу в высокогорных районах;</w:t>
      </w:r>
    </w:p>
    <w:p w:rsidR="009B6700" w:rsidRDefault="009B6700">
      <w:pPr>
        <w:widowControl w:val="0"/>
        <w:autoSpaceDE w:val="0"/>
        <w:autoSpaceDN w:val="0"/>
        <w:adjustRightInd w:val="0"/>
        <w:ind w:firstLine="540"/>
        <w:jc w:val="both"/>
        <w:rPr>
          <w:rFonts w:cs="Times New Roman"/>
          <w:szCs w:val="28"/>
        </w:rPr>
      </w:pPr>
      <w:r>
        <w:rPr>
          <w:rFonts w:cs="Times New Roman"/>
          <w:szCs w:val="28"/>
        </w:rPr>
        <w:t>надбавка за стаж работы в районах Крайнего Севера и приравненных к ним местностях;</w:t>
      </w:r>
    </w:p>
    <w:p w:rsidR="009B6700" w:rsidRDefault="009B6700">
      <w:pPr>
        <w:widowControl w:val="0"/>
        <w:autoSpaceDE w:val="0"/>
        <w:autoSpaceDN w:val="0"/>
        <w:adjustRightInd w:val="0"/>
        <w:ind w:firstLine="540"/>
        <w:jc w:val="both"/>
        <w:rPr>
          <w:rFonts w:cs="Times New Roman"/>
          <w:szCs w:val="28"/>
        </w:rPr>
      </w:pPr>
      <w:r>
        <w:rPr>
          <w:rFonts w:cs="Times New Roman"/>
          <w:szCs w:val="28"/>
        </w:rPr>
        <w:t>в)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совмещение профессий (должностей);</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расширение зон обслуживания;</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увеличение объема работы;</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исполнение обязанностей временно отсутствующего работника без освобождения от работы, определенной трудовым договором;</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выполнение работ различной квалификации;</w:t>
      </w:r>
    </w:p>
    <w:p w:rsidR="009B6700" w:rsidRDefault="009B6700">
      <w:pPr>
        <w:widowControl w:val="0"/>
        <w:autoSpaceDE w:val="0"/>
        <w:autoSpaceDN w:val="0"/>
        <w:adjustRightInd w:val="0"/>
        <w:ind w:firstLine="540"/>
        <w:jc w:val="both"/>
        <w:rPr>
          <w:rFonts w:cs="Times New Roman"/>
          <w:szCs w:val="28"/>
        </w:rPr>
      </w:pPr>
      <w:r>
        <w:rPr>
          <w:rFonts w:cs="Times New Roman"/>
          <w:szCs w:val="28"/>
        </w:rPr>
        <w:t>доплата за работу в ночное время;</w:t>
      </w:r>
    </w:p>
    <w:p w:rsidR="009B6700" w:rsidRDefault="009B6700">
      <w:pPr>
        <w:widowControl w:val="0"/>
        <w:autoSpaceDE w:val="0"/>
        <w:autoSpaceDN w:val="0"/>
        <w:adjustRightInd w:val="0"/>
        <w:ind w:firstLine="540"/>
        <w:jc w:val="both"/>
        <w:rPr>
          <w:rFonts w:cs="Times New Roman"/>
          <w:szCs w:val="28"/>
        </w:rPr>
      </w:pPr>
      <w:r>
        <w:rPr>
          <w:rFonts w:cs="Times New Roman"/>
          <w:szCs w:val="28"/>
        </w:rPr>
        <w:t>г) надбавка за работу со сведениями, составляющими государственную тайну, их засекречиванием и рассекречиванием, а также за работу с шифрами.</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2" w:history="1">
        <w:r>
          <w:rPr>
            <w:rFonts w:cs="Times New Roman"/>
            <w:color w:val="0000FF"/>
            <w:szCs w:val="28"/>
          </w:rPr>
          <w:t>статьей 129</w:t>
        </w:r>
      </w:hyperlink>
      <w:r>
        <w:rPr>
          <w:rFonts w:cs="Times New Roman"/>
          <w:szCs w:val="28"/>
        </w:rPr>
        <w:t xml:space="preserve"> Трудового кодекса Российской Федерации оклад (должностной оклад) - это фиксированный </w:t>
      </w:r>
      <w:proofErr w:type="gramStart"/>
      <w:r>
        <w:rPr>
          <w:rFonts w:cs="Times New Roman"/>
          <w:szCs w:val="28"/>
        </w:rPr>
        <w:t>размер оплаты труда</w:t>
      </w:r>
      <w:proofErr w:type="gramEnd"/>
      <w:r>
        <w:rPr>
          <w:rFonts w:cs="Times New Roman"/>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Таким образом, размеры окладов должны дифференцироваться исключительно в зависимости от сложности трудовой функции, при этом необходимо обеспечивать зависимость заработной платы каждого работника от его квалификации, сложности выполняемой работы, количества и качества затраченного труда.</w:t>
      </w:r>
    </w:p>
    <w:p w:rsidR="009B6700" w:rsidRDefault="009B6700">
      <w:pPr>
        <w:widowControl w:val="0"/>
        <w:autoSpaceDE w:val="0"/>
        <w:autoSpaceDN w:val="0"/>
        <w:adjustRightInd w:val="0"/>
        <w:ind w:firstLine="540"/>
        <w:jc w:val="both"/>
        <w:rPr>
          <w:rFonts w:cs="Times New Roman"/>
          <w:szCs w:val="28"/>
        </w:rPr>
      </w:pPr>
      <w:r>
        <w:rPr>
          <w:rFonts w:cs="Times New Roman"/>
          <w:szCs w:val="28"/>
        </w:rPr>
        <w:lastRenderedPageBreak/>
        <w:t>С 2008 года в субъектах Российской Федерации осуществляется перевод медицинских работников с региональных единых тарифных сеток на новые системы оплаты труда, основанные на положениях систем оплаты труда, предусмотренных для работников федеральных бюджетных и казенных учреждений:</w:t>
      </w:r>
    </w:p>
    <w:p w:rsidR="009B6700" w:rsidRDefault="009B6700">
      <w:pPr>
        <w:widowControl w:val="0"/>
        <w:autoSpaceDE w:val="0"/>
        <w:autoSpaceDN w:val="0"/>
        <w:adjustRightInd w:val="0"/>
        <w:ind w:firstLine="540"/>
        <w:jc w:val="both"/>
        <w:rPr>
          <w:rFonts w:cs="Times New Roman"/>
          <w:szCs w:val="28"/>
        </w:rPr>
      </w:pPr>
      <w:r>
        <w:rPr>
          <w:rFonts w:cs="Times New Roman"/>
          <w:szCs w:val="28"/>
        </w:rPr>
        <w:t>- повышение самостоятельности учреждения при определении условий оплаты труда работников в переделах фонда оплаты труда, формировании штатного расписания;</w:t>
      </w:r>
    </w:p>
    <w:p w:rsidR="009B6700" w:rsidRDefault="009B6700">
      <w:pPr>
        <w:widowControl w:val="0"/>
        <w:autoSpaceDE w:val="0"/>
        <w:autoSpaceDN w:val="0"/>
        <w:adjustRightInd w:val="0"/>
        <w:ind w:firstLine="540"/>
        <w:jc w:val="both"/>
        <w:rPr>
          <w:rFonts w:cs="Times New Roman"/>
          <w:szCs w:val="28"/>
        </w:rPr>
      </w:pPr>
      <w:r>
        <w:rPr>
          <w:rFonts w:cs="Times New Roman"/>
          <w:szCs w:val="28"/>
        </w:rPr>
        <w:t>- установление окладов (должностных окладов) на основе отнесения должностей к квалификационным уровням профессиональных квалификационных групп медицинских и фармацевтических работников;</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 установление выплат стимулирующего и компенсационного характера в соответствии с утверждаемыми перечнями видов выплат, аналогичными </w:t>
      </w:r>
      <w:proofErr w:type="gramStart"/>
      <w:r>
        <w:rPr>
          <w:rFonts w:cs="Times New Roman"/>
          <w:szCs w:val="28"/>
        </w:rPr>
        <w:t>применяемым</w:t>
      </w:r>
      <w:proofErr w:type="gramEnd"/>
      <w:r>
        <w:rPr>
          <w:rFonts w:cs="Times New Roman"/>
          <w:szCs w:val="28"/>
        </w:rPr>
        <w:t xml:space="preserve"> в федеральных государственных учреждениях;</w:t>
      </w:r>
    </w:p>
    <w:p w:rsidR="009B6700" w:rsidRDefault="009B6700">
      <w:pPr>
        <w:widowControl w:val="0"/>
        <w:autoSpaceDE w:val="0"/>
        <w:autoSpaceDN w:val="0"/>
        <w:adjustRightInd w:val="0"/>
        <w:ind w:firstLine="540"/>
        <w:jc w:val="both"/>
        <w:rPr>
          <w:rFonts w:cs="Times New Roman"/>
          <w:szCs w:val="28"/>
        </w:rPr>
      </w:pPr>
      <w:r>
        <w:rPr>
          <w:rFonts w:cs="Times New Roman"/>
          <w:szCs w:val="28"/>
        </w:rPr>
        <w:t>- зависимость оплаты труда руководителя от выполнения целевых показателей эффективности деятельности учреждения.</w:t>
      </w:r>
    </w:p>
    <w:p w:rsidR="009B6700" w:rsidRDefault="009B6700">
      <w:pPr>
        <w:widowControl w:val="0"/>
        <w:autoSpaceDE w:val="0"/>
        <w:autoSpaceDN w:val="0"/>
        <w:adjustRightInd w:val="0"/>
        <w:ind w:firstLine="540"/>
        <w:jc w:val="both"/>
        <w:rPr>
          <w:rFonts w:cs="Times New Roman"/>
          <w:szCs w:val="28"/>
        </w:rPr>
      </w:pPr>
      <w:r>
        <w:rPr>
          <w:rFonts w:cs="Times New Roman"/>
          <w:szCs w:val="28"/>
        </w:rPr>
        <w:t>Введение новых систем оплаты труда в целом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медицинских организаций в 2008 - 2012 годах среднемесячная начисленная заработная плата выросла более чем в 2 раза.</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При этом</w:t>
      </w:r>
      <w:proofErr w:type="gramStart"/>
      <w:r>
        <w:rPr>
          <w:rFonts w:cs="Times New Roman"/>
          <w:szCs w:val="28"/>
        </w:rPr>
        <w:t>,</w:t>
      </w:r>
      <w:proofErr w:type="gramEnd"/>
      <w:r>
        <w:rPr>
          <w:rFonts w:cs="Times New Roman"/>
          <w:szCs w:val="28"/>
        </w:rPr>
        <w:t xml:space="preserve"> по данным Росстата за 1 полугодие 2014 года, сохраняется высокая межрегиональная дифференциация в уровнях оплаты труда врачей от 25 267 рублей до 114 023 рублей, среднего медицинского персонала от 14 855 рублей до 69 153 рублей. </w:t>
      </w:r>
      <w:proofErr w:type="gramStart"/>
      <w:r>
        <w:rPr>
          <w:rFonts w:cs="Times New Roman"/>
          <w:szCs w:val="28"/>
        </w:rPr>
        <w:t xml:space="preserve">Такая дифференциация, если не учитывать субъекты Российской Федерации, в которых осуществляются выплаты за работу в местностях с особыми климатическими условиями (районные коэффициенты, процентные надбавки к заработной плате), сложилась в основном за счет различий в размерах окладов по профессиональным квалификационным группам, поскольку </w:t>
      </w:r>
      <w:proofErr w:type="spellStart"/>
      <w:r>
        <w:rPr>
          <w:rFonts w:cs="Times New Roman"/>
          <w:szCs w:val="28"/>
        </w:rPr>
        <w:t>надтарифные</w:t>
      </w:r>
      <w:proofErr w:type="spellEnd"/>
      <w:r>
        <w:rPr>
          <w:rFonts w:cs="Times New Roman"/>
          <w:szCs w:val="28"/>
        </w:rPr>
        <w:t xml:space="preserve"> выплаты (стимулирующие и компенсационные) устанавливаются в процентах к окладам, а их соотношение в структуре заработной платы по типам</w:t>
      </w:r>
      <w:proofErr w:type="gramEnd"/>
      <w:r>
        <w:rPr>
          <w:rFonts w:cs="Times New Roman"/>
          <w:szCs w:val="28"/>
        </w:rPr>
        <w:t xml:space="preserve"> учреждений в субъектах Российской Федерации примерно одинаково (стимулирующие выплаты - 45 - 50%, компенсационные выплаты - 20 - 25%).</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Так, размеры окладов по 1-ому квалификационному уровню профессиональной квалификационной группы "Врачи и провизоры", установленные нормативными правовыми актами субъектов Российской Федерации, составляют от 3 450 рублей (Карачаево-Черкесская Республика) до 12 197 рублей (Московская область), что сказывается и на среднемесячной заработной плате врачей, которая за 1 полугодие 2014 года в указанных регионах составила, соответственно, 26 024 рубля и 57 114 рублей.</w:t>
      </w:r>
      <w:proofErr w:type="gramEnd"/>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Важно отметить, что введение новых систем оплаты труда привело и к некоторым негативным последствиям -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w:t>
      </w:r>
      <w:r>
        <w:rPr>
          <w:rFonts w:cs="Times New Roman"/>
          <w:szCs w:val="28"/>
        </w:rPr>
        <w:lastRenderedPageBreak/>
        <w:t>работников учреждения. Так, среднемесячная заработная плата отдельных руководителей государственных учреждений существенно (более чем в 10 раз) превышала заработную плату работников этих учреждений.</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Кроме того, сложилась неоптимальная структура заработных плат медицинских работников. </w:t>
      </w:r>
      <w:proofErr w:type="gramStart"/>
      <w:r>
        <w:rPr>
          <w:rFonts w:cs="Times New Roman"/>
          <w:szCs w:val="28"/>
        </w:rPr>
        <w:t>В среднем, в рамках новых систем оплаты труда, в субъектах Российской Федерации расходование фонда оплаты труда на выплаты по окладам медицинским работникам составляет 30%, на компенсационные выплаты - 20% и на стимулирующие выплаты - 50%. Примерно в половине субъектов Российской Федерации доля оклада в структуре заработной платы составляет от 20% до 30%, в трети субъектов Российской Федерации - менее 20% и лишь в</w:t>
      </w:r>
      <w:proofErr w:type="gramEnd"/>
      <w:r>
        <w:rPr>
          <w:rFonts w:cs="Times New Roman"/>
          <w:szCs w:val="28"/>
        </w:rPr>
        <w:t xml:space="preserve"> 7 </w:t>
      </w:r>
      <w:proofErr w:type="gramStart"/>
      <w:r>
        <w:rPr>
          <w:rFonts w:cs="Times New Roman"/>
          <w:szCs w:val="28"/>
        </w:rPr>
        <w:t>регионах</w:t>
      </w:r>
      <w:proofErr w:type="gramEnd"/>
      <w:r>
        <w:rPr>
          <w:rFonts w:cs="Times New Roman"/>
          <w:szCs w:val="28"/>
        </w:rPr>
        <w:t xml:space="preserve"> 40 - 50%. Такие соотношения характерны для большинства медицинских специальностей и типов учреждений.</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В то же время по-прежнему высока в структуре заработной платы доля "статусных" выплат, не нацеленных на эффективный результат (за стаж непрерывной работы, выслугу лет, за квалификационную категорию, за наличие ученой степени, ученых званий), которые, в общих объемах стимулирования, достигают в среднем 50%. Значительные суммы стимулирования распределяются между работниками по формальному принципу, зачастую по субъективным оценкам руководителей без увязки с результатами</w:t>
      </w:r>
      <w:proofErr w:type="gramEnd"/>
      <w:r>
        <w:rPr>
          <w:rFonts w:cs="Times New Roman"/>
          <w:szCs w:val="28"/>
        </w:rPr>
        <w:t xml:space="preserve"> труда.</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В ряде субъектов Российской Федерации в системах оплаты труда должностные оклады определяются с учетом стажа работы, уровня образования, наличия квалификационных категорий, ученых степеней и т.д., в других субъектах Российской </w:t>
      </w:r>
      <w:proofErr w:type="gramStart"/>
      <w:r>
        <w:rPr>
          <w:rFonts w:cs="Times New Roman"/>
          <w:szCs w:val="28"/>
        </w:rPr>
        <w:t>Федерации</w:t>
      </w:r>
      <w:proofErr w:type="gramEnd"/>
      <w:r>
        <w:rPr>
          <w:rFonts w:cs="Times New Roman"/>
          <w:szCs w:val="28"/>
        </w:rPr>
        <w:t xml:space="preserve"> перечисленные выше персональные достижения работников формируют систему компенсационных выплат.</w:t>
      </w:r>
    </w:p>
    <w:p w:rsidR="009B6700" w:rsidRDefault="009B6700">
      <w:pPr>
        <w:widowControl w:val="0"/>
        <w:autoSpaceDE w:val="0"/>
        <w:autoSpaceDN w:val="0"/>
        <w:adjustRightInd w:val="0"/>
        <w:ind w:firstLine="540"/>
        <w:jc w:val="both"/>
        <w:rPr>
          <w:rFonts w:cs="Times New Roman"/>
          <w:szCs w:val="28"/>
        </w:rPr>
      </w:pPr>
      <w:r>
        <w:rPr>
          <w:rFonts w:cs="Times New Roman"/>
          <w:szCs w:val="28"/>
        </w:rPr>
        <w:t>Анализ сложившихся в субъектах Российской Федерации систем оплаты труда демонстрирует необходимость увеличения доли оклада в структуре заработной платы за счет оптимизации выплат компенсационного и стимулирующего характера.</w:t>
      </w:r>
    </w:p>
    <w:p w:rsidR="009B6700" w:rsidRDefault="009B6700">
      <w:pPr>
        <w:widowControl w:val="0"/>
        <w:autoSpaceDE w:val="0"/>
        <w:autoSpaceDN w:val="0"/>
        <w:adjustRightInd w:val="0"/>
        <w:ind w:firstLine="540"/>
        <w:jc w:val="both"/>
        <w:rPr>
          <w:rFonts w:cs="Times New Roman"/>
          <w:szCs w:val="28"/>
        </w:rPr>
      </w:pPr>
      <w:r>
        <w:rPr>
          <w:rFonts w:cs="Times New Roman"/>
          <w:szCs w:val="28"/>
        </w:rPr>
        <w:t>В настоящее время в медицинских организациях компенсации работникам, занятым на работах с вредными условиями труда, устанавливаются исходя из списочного (статусного) подхода по основаниям отнесения к той или иной профессии (должности, подразделению).</w:t>
      </w:r>
    </w:p>
    <w:p w:rsidR="009B6700" w:rsidRDefault="009B6700">
      <w:pPr>
        <w:widowControl w:val="0"/>
        <w:autoSpaceDE w:val="0"/>
        <w:autoSpaceDN w:val="0"/>
        <w:adjustRightInd w:val="0"/>
        <w:ind w:firstLine="540"/>
        <w:jc w:val="both"/>
        <w:rPr>
          <w:rFonts w:cs="Times New Roman"/>
          <w:szCs w:val="28"/>
        </w:rPr>
      </w:pPr>
      <w:r>
        <w:rPr>
          <w:rFonts w:cs="Times New Roman"/>
          <w:szCs w:val="28"/>
        </w:rPr>
        <w:t>Вместе с тем, в трудовом законодательстве Российской Федерации установлены принципы предоставления компенсаций исходя из реального состояния условий труда на каждом конкретном рабочем месте, установленного по результатам специальной оценки условий труда (если иное не предусмотрено законодательством). Специальная оценка условий труда должна проводиться на основе объективных, измеряемых параметров; в случае признания рабочих мест оптимальными или допустимыми указанные компенсации должны быть отменены.</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 xml:space="preserve">В субъектах Российской Федерации, где применяются компенсационные выплаты за работу в местностях с особыми климатическими условиями в </w:t>
      </w:r>
      <w:r>
        <w:rPr>
          <w:rFonts w:cs="Times New Roman"/>
          <w:szCs w:val="28"/>
        </w:rPr>
        <w:lastRenderedPageBreak/>
        <w:t>виде районных коэффициентов, коэффициентов и процентных надбавок к заработной плате (районы Крайнего Севера и приравненные к ним местности, южные районы России), соотношения выплат по окладам, компенсационным и стимулирующим выплатам устанавливаются с учетом того, что компенсационные выплаты в данных районах занимают в структуре заработной</w:t>
      </w:r>
      <w:proofErr w:type="gramEnd"/>
      <w:r>
        <w:rPr>
          <w:rFonts w:cs="Times New Roman"/>
          <w:szCs w:val="28"/>
        </w:rPr>
        <w:t xml:space="preserve"> платы до 50 - 60%.</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Совершенствование системы стимулирующих выплат должно осуществляться на основе </w:t>
      </w:r>
      <w:proofErr w:type="gramStart"/>
      <w:r>
        <w:rPr>
          <w:rFonts w:cs="Times New Roman"/>
          <w:szCs w:val="28"/>
        </w:rPr>
        <w:t>пересмотра действующей системы показателей эффективности деятельности</w:t>
      </w:r>
      <w:proofErr w:type="gramEnd"/>
      <w:r>
        <w:rPr>
          <w:rFonts w:cs="Times New Roman"/>
          <w:szCs w:val="28"/>
        </w:rPr>
        <w:t xml:space="preserve"> работников, имея в виду:</w:t>
      </w:r>
    </w:p>
    <w:p w:rsidR="009B6700" w:rsidRDefault="009B6700">
      <w:pPr>
        <w:widowControl w:val="0"/>
        <w:autoSpaceDE w:val="0"/>
        <w:autoSpaceDN w:val="0"/>
        <w:adjustRightInd w:val="0"/>
        <w:ind w:firstLine="540"/>
        <w:jc w:val="both"/>
        <w:rPr>
          <w:rFonts w:cs="Times New Roman"/>
          <w:szCs w:val="28"/>
        </w:rPr>
      </w:pPr>
      <w:r>
        <w:rPr>
          <w:rFonts w:cs="Times New Roman"/>
          <w:szCs w:val="28"/>
        </w:rPr>
        <w:t>установление показателей, позволяющих ориентировать работников на достижение конкретных результатов, а также критериев и условий их назначения с отражением в положениях об оплате труда работников учреждений, локальных нормативных актах и трудовых договорах с руководителями и работниками учреждений;</w:t>
      </w:r>
    </w:p>
    <w:p w:rsidR="009B6700" w:rsidRDefault="009B6700">
      <w:pPr>
        <w:widowControl w:val="0"/>
        <w:autoSpaceDE w:val="0"/>
        <w:autoSpaceDN w:val="0"/>
        <w:adjustRightInd w:val="0"/>
        <w:ind w:firstLine="540"/>
        <w:jc w:val="both"/>
        <w:rPr>
          <w:rFonts w:cs="Times New Roman"/>
          <w:szCs w:val="28"/>
        </w:rPr>
      </w:pPr>
      <w:r>
        <w:rPr>
          <w:rFonts w:cs="Times New Roman"/>
          <w:szCs w:val="28"/>
        </w:rPr>
        <w:t>отмену неэффективных стимулирующих выплат;</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использование при оценке достижения конкретных показателей качества и </w:t>
      </w:r>
      <w:proofErr w:type="gramStart"/>
      <w:r>
        <w:rPr>
          <w:rFonts w:cs="Times New Roman"/>
          <w:szCs w:val="28"/>
        </w:rPr>
        <w:t>количества</w:t>
      </w:r>
      <w:proofErr w:type="gramEnd"/>
      <w:r>
        <w:rPr>
          <w:rFonts w:cs="Times New Roman"/>
          <w:szCs w:val="28"/>
        </w:rPr>
        <w:t xml:space="preserve"> оказываемых государственных (муниципальных) услуг (выполнения работ), в том числе в рамках независимой оценки качества оказания услуг учреждениями, и введения публичных рейтингов их деятельности.</w:t>
      </w:r>
    </w:p>
    <w:p w:rsidR="009B6700" w:rsidRDefault="009B6700">
      <w:pPr>
        <w:widowControl w:val="0"/>
        <w:autoSpaceDE w:val="0"/>
        <w:autoSpaceDN w:val="0"/>
        <w:adjustRightInd w:val="0"/>
        <w:ind w:firstLine="540"/>
        <w:jc w:val="both"/>
        <w:rPr>
          <w:rFonts w:cs="Times New Roman"/>
          <w:szCs w:val="28"/>
        </w:rPr>
      </w:pPr>
      <w:r>
        <w:rPr>
          <w:rFonts w:cs="Times New Roman"/>
          <w:szCs w:val="28"/>
        </w:rPr>
        <w:t xml:space="preserve">При отнесении в системах оплаты труда выплат к выплатам компенсационного характера и выплатам стимулирующего характера следует руководствоваться </w:t>
      </w:r>
      <w:hyperlink r:id="rId13" w:history="1">
        <w:r>
          <w:rPr>
            <w:rFonts w:cs="Times New Roman"/>
            <w:color w:val="0000FF"/>
            <w:szCs w:val="28"/>
          </w:rPr>
          <w:t>пунктом 11</w:t>
        </w:r>
      </w:hyperlink>
      <w:r>
        <w:rPr>
          <w:rFonts w:cs="Times New Roman"/>
          <w:szCs w:val="28"/>
        </w:rPr>
        <w:t xml:space="preserve">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N 167н.</w:t>
      </w:r>
    </w:p>
    <w:p w:rsidR="009B6700" w:rsidRDefault="009B6700">
      <w:pPr>
        <w:widowControl w:val="0"/>
        <w:autoSpaceDE w:val="0"/>
        <w:autoSpaceDN w:val="0"/>
        <w:adjustRightInd w:val="0"/>
        <w:ind w:firstLine="540"/>
        <w:jc w:val="both"/>
        <w:rPr>
          <w:rFonts w:cs="Times New Roman"/>
          <w:szCs w:val="28"/>
        </w:rPr>
      </w:pPr>
      <w:r>
        <w:rPr>
          <w:rFonts w:cs="Times New Roman"/>
          <w:szCs w:val="28"/>
        </w:rPr>
        <w:t>Кроме того, в целях недопущения необоснованной дифференциации в заработной плате руководителей и работников учреждений рекомендуется устанавливать предельный уровень заработной платы руководителей учреждений через определение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9B6700" w:rsidRDefault="009B6700">
      <w:pPr>
        <w:widowControl w:val="0"/>
        <w:autoSpaceDE w:val="0"/>
        <w:autoSpaceDN w:val="0"/>
        <w:adjustRightInd w:val="0"/>
        <w:ind w:firstLine="540"/>
        <w:jc w:val="both"/>
        <w:rPr>
          <w:rFonts w:cs="Times New Roman"/>
          <w:szCs w:val="28"/>
        </w:rPr>
      </w:pPr>
      <w:r>
        <w:rPr>
          <w:rFonts w:cs="Times New Roman"/>
          <w:szCs w:val="28"/>
        </w:rPr>
        <w:t>Предельный уровень соотношения средней заработной платы руководителей и работников учреждения рекомендуется определять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 xml:space="preserve">Изучив и апробировав в "пилотных регионах" лучшие методики подходов к формированию систем оплаты труда, обсудив полученные результаты и подытожив позитивный опыт "пилотных проектов" на совместном совещании с представителями Федерации независимых профсоюзов и Центрального комитета профсоюза работников здравоохранения Российской Федерации Минздрав России полагает </w:t>
      </w:r>
      <w:r>
        <w:rPr>
          <w:rFonts w:cs="Times New Roman"/>
          <w:szCs w:val="28"/>
        </w:rPr>
        <w:lastRenderedPageBreak/>
        <w:t>целесообразным внедрять новые подходы к формированию гарантированной части заработной платы медицинских работников в субъектах Российской Федерации, что позволит</w:t>
      </w:r>
      <w:proofErr w:type="gramEnd"/>
      <w:r>
        <w:rPr>
          <w:rFonts w:cs="Times New Roman"/>
          <w:szCs w:val="28"/>
        </w:rPr>
        <w:t xml:space="preserve"> сбалансировать долю тарифной части заработка работников и стимулирующих выплат таким образом, чтобы 55 - 60% заработной платы направлялось на выплаты по окладам, 30% - стимулирующие выплаты за достижение конкретных результатов деятельности по показателям и критериям эффективности, 10 - 15% компенсационные выплаты, в зависимости от условий труда медицинских работников.</w:t>
      </w:r>
    </w:p>
    <w:p w:rsidR="009B6700" w:rsidRDefault="009B6700">
      <w:pPr>
        <w:widowControl w:val="0"/>
        <w:autoSpaceDE w:val="0"/>
        <w:autoSpaceDN w:val="0"/>
        <w:adjustRightInd w:val="0"/>
        <w:ind w:firstLine="540"/>
        <w:jc w:val="both"/>
        <w:rPr>
          <w:rFonts w:cs="Times New Roman"/>
          <w:szCs w:val="28"/>
        </w:rPr>
      </w:pPr>
      <w:proofErr w:type="gramStart"/>
      <w:r>
        <w:rPr>
          <w:rFonts w:cs="Times New Roman"/>
          <w:szCs w:val="28"/>
        </w:rPr>
        <w:t>В целях сохранения кадрового потенциала отрасли рекомендуется совершенствовать системы оплаты труда, пересмотрев механизм установления должностных окладов на основе отнесения должностей к квалификационным уровням профессиональных квалификационных групп, оптимизировав структуру и размеры выплат стимулирующего характера, исходя из необходимости их ориентации на достижение конкретных результатов деятельности медицинских работников, для чего необходимо предварительно провести подробный анализ действующих систем оплаты труда медицинских работников, в том</w:t>
      </w:r>
      <w:proofErr w:type="gramEnd"/>
      <w:r>
        <w:rPr>
          <w:rFonts w:cs="Times New Roman"/>
          <w:szCs w:val="28"/>
        </w:rPr>
        <w:t xml:space="preserve"> </w:t>
      </w:r>
      <w:proofErr w:type="gramStart"/>
      <w:r>
        <w:rPr>
          <w:rFonts w:cs="Times New Roman"/>
          <w:szCs w:val="28"/>
        </w:rPr>
        <w:t>числе</w:t>
      </w:r>
      <w:proofErr w:type="gramEnd"/>
      <w:r>
        <w:rPr>
          <w:rFonts w:cs="Times New Roman"/>
          <w:szCs w:val="28"/>
        </w:rPr>
        <w:t xml:space="preserve"> на предмет их соответствия действующему законодательству Российской Федерации.</w:t>
      </w:r>
    </w:p>
    <w:p w:rsidR="009B6700" w:rsidRDefault="009B6700">
      <w:pPr>
        <w:widowControl w:val="0"/>
        <w:autoSpaceDE w:val="0"/>
        <w:autoSpaceDN w:val="0"/>
        <w:adjustRightInd w:val="0"/>
        <w:ind w:firstLine="540"/>
        <w:jc w:val="both"/>
        <w:rPr>
          <w:rFonts w:cs="Times New Roman"/>
          <w:szCs w:val="28"/>
        </w:rPr>
      </w:pPr>
    </w:p>
    <w:p w:rsidR="009B6700" w:rsidRDefault="009B6700">
      <w:pPr>
        <w:widowControl w:val="0"/>
        <w:autoSpaceDE w:val="0"/>
        <w:autoSpaceDN w:val="0"/>
        <w:adjustRightInd w:val="0"/>
        <w:ind w:firstLine="540"/>
        <w:jc w:val="both"/>
        <w:rPr>
          <w:rFonts w:cs="Times New Roman"/>
          <w:szCs w:val="28"/>
        </w:rPr>
      </w:pPr>
    </w:p>
    <w:p w:rsidR="009B6700" w:rsidRDefault="009B6700">
      <w:pPr>
        <w:widowControl w:val="0"/>
        <w:pBdr>
          <w:top w:val="single" w:sz="6" w:space="0" w:color="auto"/>
        </w:pBdr>
        <w:autoSpaceDE w:val="0"/>
        <w:autoSpaceDN w:val="0"/>
        <w:adjustRightInd w:val="0"/>
        <w:spacing w:before="100" w:after="100"/>
        <w:jc w:val="both"/>
        <w:rPr>
          <w:rFonts w:cs="Times New Roman"/>
          <w:sz w:val="2"/>
          <w:szCs w:val="2"/>
        </w:rPr>
      </w:pPr>
    </w:p>
    <w:p w:rsidR="000F6F13" w:rsidRDefault="009B6700"/>
    <w:sectPr w:rsidR="000F6F13" w:rsidSect="0030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00"/>
    <w:rsid w:val="001A7D09"/>
    <w:rsid w:val="00725A36"/>
    <w:rsid w:val="00796368"/>
    <w:rsid w:val="009B6700"/>
    <w:rsid w:val="00CC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29FB1280C421396410A14C1EC4084353F651813B14DE638A6B05B70c3oFD" TargetMode="External"/><Relationship Id="rId13" Type="http://schemas.openxmlformats.org/officeDocument/2006/relationships/hyperlink" Target="consultantplus://offline/ref=BB629FB1280C421396410A14C1EC4084353F621218BA4DE638A6B05B703FD45CF664207E8281780Dc5o5D" TargetMode="External"/><Relationship Id="rId3" Type="http://schemas.openxmlformats.org/officeDocument/2006/relationships/settings" Target="settings.xml"/><Relationship Id="rId7" Type="http://schemas.openxmlformats.org/officeDocument/2006/relationships/hyperlink" Target="consultantplus://offline/ref=BB629FB1280C421396410A14C1EC4084353C671714BB4DE638A6B05B703FD45CF664207E82817808c5o2D" TargetMode="External"/><Relationship Id="rId12" Type="http://schemas.openxmlformats.org/officeDocument/2006/relationships/hyperlink" Target="consultantplus://offline/ref=BB629FB1280C421396410A14C1EC4084353F651813B14DE638A6B05B703FD45CF664207986c8o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629FB1280C421396410A14C1EC4084353F651813B14DE638A6B05B703FD45CF66420798Bc8o3D" TargetMode="External"/><Relationship Id="rId11" Type="http://schemas.openxmlformats.org/officeDocument/2006/relationships/hyperlink" Target="consultantplus://offline/ref=BB629FB1280C421396410A14C1EC4084353C661512BE4DE638A6B05B70c3oFD" TargetMode="External"/><Relationship Id="rId5" Type="http://schemas.openxmlformats.org/officeDocument/2006/relationships/hyperlink" Target="consultantplus://offline/ref=BB629FB1280C421396410A14C1EC4084353C671714BB4DE638A6B05B703FD45CF664207E8281790Cc5o3D" TargetMode="External"/><Relationship Id="rId15" Type="http://schemas.openxmlformats.org/officeDocument/2006/relationships/theme" Target="theme/theme1.xml"/><Relationship Id="rId10" Type="http://schemas.openxmlformats.org/officeDocument/2006/relationships/hyperlink" Target="consultantplus://offline/ref=BB629FB1280C421396410A14C1EC40843D3E621619B310EC30FFBC59c7o7D" TargetMode="External"/><Relationship Id="rId4" Type="http://schemas.openxmlformats.org/officeDocument/2006/relationships/webSettings" Target="webSettings.xml"/><Relationship Id="rId9" Type="http://schemas.openxmlformats.org/officeDocument/2006/relationships/hyperlink" Target="consultantplus://offline/ref=BB629FB1280C421396410A14C1EC40843D3B681116B310EC30FFBC59c7o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1</cp:revision>
  <dcterms:created xsi:type="dcterms:W3CDTF">2014-09-23T03:40:00Z</dcterms:created>
  <dcterms:modified xsi:type="dcterms:W3CDTF">2014-09-23T03:41:00Z</dcterms:modified>
</cp:coreProperties>
</file>